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Buyer </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table and calculation are included by way of example only. Procurement-specific Service Levels (or KPIs) and formulae, including Service Levels relating to Social Value, should be incorporated. In line with the Sourcing Playbook,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3F">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w:t>
            </w:r>
          </w:p>
        </w:tc>
      </w:tr>
      <w:tr>
        <w:trPr>
          <w:cantSplit w:val="0"/>
          <w:trHeight w:val="1474" w:hRule="atLeast"/>
          <w:tblHeader w:val="0"/>
        </w:trPr>
        <w:tc>
          <w:tcPr/>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tl w:val="0"/>
              </w:rPr>
            </w:r>
          </w:p>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[Accuracy /Timelines]</w:t>
            </w:r>
            <w:r w:rsidDel="00000000" w:rsidR="00000000" w:rsidRPr="00000000">
              <w:rPr>
                <w:rtl w:val="0"/>
              </w:rPr>
            </w:r>
          </w:p>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tl w:val="0"/>
              </w:rPr>
            </w:r>
          </w:p>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tl w:val="0"/>
              </w:rPr>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[Availability]</w:t>
            </w:r>
            <w:r w:rsidDel="00000000" w:rsidR="00000000" w:rsidRPr="00000000">
              <w:rPr>
                <w:rtl w:val="0"/>
              </w:rPr>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tl w:val="0"/>
              </w:rPr>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5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8">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1]</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4">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2]</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6">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A">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3]</w:t>
            </w:r>
            <w:r w:rsidDel="00000000" w:rsidR="00000000" w:rsidRPr="00000000">
              <w:rPr>
                <w:rtl w:val="0"/>
              </w:rPr>
            </w:r>
          </w:p>
        </w:tc>
        <w:tc>
          <w:tcPr/>
          <w:p w:rsidR="00000000" w:rsidDel="00000000" w:rsidP="00000000" w:rsidRDefault="00000000" w:rsidRPr="00000000" w14:paraId="0000006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C">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0">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1">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2">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5">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hkkBnfqikvblBG6hfhtkX7qQiw==">CgMxLjAyCGguZ2pkZ3hzMgloLjMwajB6bGw4AGokChRzdWdnZXN0LmdwcWQ4NmZhNG9obxIMQW5keSBKb2huc29uaiQKFHN1Z2dlc3QucHUxanh5eDFzejBvEgxBbmR5IEpvaG5zb25yITFydkJlZ2lrdHhLWkNaelNHX1pzVVptUW52cWZHV2xKZQ==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2023-05-24T10:25:00Z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